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rPr>
          <w:b w:val="1"/>
        </w:rPr>
        <w:t>Правопреемники</w:t>
      </w:r>
      <w:r>
        <w:t xml:space="preserve"> могут подать заявление о выплате средств пенсионных накоплений (об отказе от получения средств пенсионных накоплений) и документы в Фонд лично или направить по почте. В последнем случае подлинники документов не направляются и установление личности правопреемника, а также свидетельствование верности копий прилагаемых документов и подлинности подписи правопреемника на заявлении о выплате средств пенсионных накоплений (об отказе от получения средств пенсионных накоплений) осуществляются:  </w:t>
      </w:r>
    </w:p>
    <w:p w14:paraId="02000000">
      <w:pPr>
        <w:pStyle w:val="Style_1"/>
        <w:widowControl w:val="0"/>
        <w:numPr>
          <w:ilvl w:val="0"/>
          <w:numId w:val="1"/>
        </w:numPr>
        <w:ind w:hanging="360" w:left="926"/>
      </w:pPr>
      <w:r>
        <w:t xml:space="preserve">нотариусом или в порядке, установленном пунктом 2 статьи 185.1 Гражданского кодекса Российской Федерации; </w:t>
      </w:r>
    </w:p>
    <w:p w14:paraId="03000000">
      <w:pPr>
        <w:pStyle w:val="Style_1"/>
        <w:widowControl w:val="0"/>
        <w:numPr>
          <w:ilvl w:val="0"/>
          <w:numId w:val="1"/>
        </w:numPr>
        <w:ind w:hanging="360" w:left="926"/>
      </w:pPr>
      <w:r>
        <w:t xml:space="preserve">должностными лицами консульских учреждений Российской Федерации, если правопреемник находится за пределами территории Российской Федерации.  </w:t>
      </w:r>
    </w:p>
    <w:p w14:paraId="04000000">
      <w:pPr>
        <w:pStyle w:val="Style_1"/>
      </w:pPr>
      <w:r>
        <w:t xml:space="preserve">Направление указанных заявлений и документов с использованием услуг почтовой связи осуществляется способом, позволяющим подтвердить факт и дату отправления.  </w:t>
      </w:r>
    </w:p>
    <w:p w14:paraId="05000000">
      <w:pPr>
        <w:pStyle w:val="Style_1"/>
        <w:widowControl w:val="0"/>
        <w:spacing w:after="46" w:before="0" w:line="240" w:lineRule="auto"/>
        <w:ind w:firstLine="0" w:left="566"/>
        <w:jc w:val="left"/>
      </w:pPr>
      <w:r>
        <w:t xml:space="preserve"> </w:t>
      </w:r>
    </w:p>
    <w:p w14:paraId="06000000">
      <w:pPr>
        <w:pStyle w:val="Style_1"/>
      </w:pPr>
      <w:r>
        <w:t>К заявлению о выплате средств пенсионных накоплений (об отказе от получения причитающихся средств пенсионных накоплений) прилагаются подлинники или засвидетельствованные нотариусом в порядке, указанном выше, копии</w:t>
      </w:r>
      <w:r>
        <w:t xml:space="preserve"> </w:t>
      </w:r>
    </w:p>
    <w:p w14:paraId="07000000">
      <w:pPr>
        <w:pStyle w:val="Style_1"/>
      </w:pPr>
      <w:r>
        <w:t>а) документов, удостоверяющих личность, возраст, место жительства правопреемника. В качестве документа, подтверждающего личность, возраст и гражданство лица, предъявляется паспорт этого лица. В качестве документа, подтверждающего место жительства, предъявляется паспорт (свидетельство о регистрации по месту жительства на территории Российской Федерации, выданное органами регистрационного учета Российской Федерации).</w:t>
      </w:r>
      <w:r>
        <w:t xml:space="preserve"> </w:t>
      </w:r>
    </w:p>
    <w:p w14:paraId="08000000">
      <w:pPr>
        <w:pStyle w:val="Style_1"/>
      </w:pPr>
      <w:r>
        <w:t>В качестве документа, удостоверяющего возраст и гражданство несовершеннолетних лиц, не достигших 14</w:t>
      </w:r>
      <w:r>
        <w:t xml:space="preserve"> </w:t>
      </w:r>
      <w:r>
        <w:t>летнего возраста, предъявляется свидетельство о рождении, свидетельство об усыновлении, а также иные документы</w:t>
      </w:r>
      <w:r>
        <w:t>. Кроме того, в необходимых случаях к заявлению прилагаются</w:t>
      </w:r>
      <w:r>
        <w:t xml:space="preserve">: </w:t>
      </w:r>
    </w:p>
    <w:p w14:paraId="09000000">
      <w:pPr>
        <w:pStyle w:val="Style_1"/>
      </w:pPr>
      <w:r>
        <w:t xml:space="preserve">документы о месте пребывания или фактического проживания. В качестве документа, подтверждающего место пребывания гражданина Российской Федерации, обратившегося за выплатой средств пенсионных накоплений, принимается свидетельство о регистрации по месту пребывания на территории Российской Федерации, выданное органами регистрационного учета Российской Федерации. Документом, подтверждающим место фактического проживания гражданина Российской Федерации на территории Российской Федерации, является его личное заявление, в котором указывается фактическое место проживания; </w:t>
      </w:r>
    </w:p>
    <w:p w14:paraId="0A000000">
      <w:pPr>
        <w:pStyle w:val="Style_1"/>
      </w:pPr>
      <w:r>
        <w:t xml:space="preserve">б) документов, удостоверяющих личность и полномочия законного представителя (усыновителя, опекуна, попечителя) правопреемника, – для законных представителей правопреемника. В качестве документа, подтверждающего полномочия законного представителя, предъявляется удостоверение, выданное органом опеки и попечительства, а при его отсутствии – решение органа опеки и попечительства, свидетельство об усыновлении, положения (уставы) организаций, предусмотренных статьей 35 Гражданского кодекса Российской Федерации, паспорт и иные документы, </w:t>
      </w:r>
    </w:p>
    <w:p w14:paraId="0B000000">
      <w:pPr>
        <w:pStyle w:val="Style_1"/>
        <w:widowControl w:val="0"/>
        <w:ind w:firstLine="0" w:left="-15"/>
      </w:pPr>
      <w:r>
        <w:t>удостоверяющие личность и должность руководителя организации</w:t>
      </w:r>
      <w:r>
        <w:rPr>
          <w:rStyle w:val="Style_2_ch"/>
          <w:vertAlign w:val="superscript"/>
        </w:rPr>
        <w:footnoteReference w:id="1"/>
      </w:r>
      <w:r>
        <w:t xml:space="preserve">; </w:t>
      </w:r>
    </w:p>
    <w:p w14:paraId="0C000000">
      <w:pPr>
        <w:pStyle w:val="Style_1"/>
      </w:pPr>
      <w:r>
        <w:t xml:space="preserve">в) документов, </w:t>
      </w:r>
      <w:r>
        <w:t xml:space="preserve">подтверждающих </w:t>
      </w:r>
      <w:r>
        <w:t xml:space="preserve">родственные отношения с умершим застрахованным лицом (свидетельство о рождении, свидетельство об усыновлении (удочерении), свидетельство о заключении брака, свидетельство о расторжении брака, иные документы, подтверждающие степень родства с умершим застрахованным лицом), – для правопреемников по закону; </w:t>
      </w:r>
    </w:p>
    <w:p w14:paraId="0D000000">
      <w:pPr>
        <w:pStyle w:val="Style_1"/>
      </w:pPr>
      <w:r>
        <w:t xml:space="preserve">г) нотариально удостоверенной доверенности, подтверждающей полномочия представителя правопреемника на подачу заявления о выплате средств пенсионных накоплений (об отказе от получения средств пенсионных накоплений) и необходимых документов от имени правопреемника, – для представителей правопреемника; </w:t>
      </w:r>
    </w:p>
    <w:p w14:paraId="0E000000">
      <w:pPr>
        <w:pStyle w:val="Style_1"/>
      </w:pPr>
      <w:r>
        <w:t xml:space="preserve">д) документов, </w:t>
      </w:r>
      <w:r>
        <w:t xml:space="preserve">подтверждающих </w:t>
      </w:r>
      <w:r>
        <w:t xml:space="preserve">предварительное разрешение органа опеки и попечительства осуществить отказ от получения причитающихся правопреемнику средств пенсионных накоплений, учтенных на пенсионном счете накопительной пенсии умершего застрахованного лица, – для законных представителей правопреемника при подаче заявления об отказе от получения средств пенсионных накоплений; </w:t>
      </w:r>
    </w:p>
    <w:p w14:paraId="0F000000">
      <w:pPr>
        <w:pStyle w:val="Style_1"/>
      </w:pPr>
      <w:r>
        <w:t xml:space="preserve">е) решения суда о восстановлении срока для обращения с заявлением о выплате средств пенсионных накоплений – для правопреемников, восстановивших в судебном порядке срок для обращения с заявлением о выплате средств пенсионных накоплений. Копии судебных постановлений в форме решений суда должны содержать отметку о вступлении в законную силу, а также удостоверение подписями судьи и секретаря суда с приложением гербовой печати суда. Допустимо отсутствие отметки о вступлении в законную силу, если решение не обжаловалось сторонами и истек срок на апелляционное обжалование (1 месяц со дня изготовления мотивированного решения); </w:t>
      </w:r>
    </w:p>
    <w:p w14:paraId="10000000">
      <w:pPr>
        <w:pStyle w:val="Style_1"/>
        <w:widowControl w:val="0"/>
        <w:ind w:firstLine="0" w:left="566"/>
      </w:pPr>
      <w:r>
        <w:t>ж) свидетельства о смерти застрахованного лица</w:t>
      </w:r>
      <w:r>
        <w:t xml:space="preserve"> (при наличии)</w:t>
      </w:r>
      <w:r>
        <w:t xml:space="preserve">;  </w:t>
      </w:r>
    </w:p>
    <w:p w14:paraId="11000000">
      <w:pPr>
        <w:pStyle w:val="Style_1"/>
      </w:pPr>
      <w:r>
        <w:t xml:space="preserve">з) страхового свидетельства обязательного пенсионного страхования (страхового свидетельства государственного пенсионного страхования) умершего застрахованного лица или документа, выданного территориальным органом </w:t>
      </w:r>
      <w:r>
        <w:t>Фонда пенсионного и социального страхования Российской Федерации в</w:t>
      </w:r>
      <w:r>
        <w:t xml:space="preserve">, в котором содержится страховой номер индивидуального лицевого счета (СНИЛС) умершего лица (при наличии); </w:t>
      </w:r>
    </w:p>
    <w:p w14:paraId="12000000">
      <w:pPr>
        <w:pStyle w:val="Style_1"/>
      </w:pPr>
      <w:r>
        <w:t xml:space="preserve">и) документов, подтверждающих отцовство в отношении детей, учтенных при возникновении у застрахованного лица права на дополнительные меры государственной поддержки, отсутствие фактов лишения отца родительских прав (отмены усыновления) в отношении ребенка, в связи с рождением (усыновлением) которого у застрахованного лица возникло право на дополнительные меры государственной поддержки, совершения отцом в отношении своего ребенка (детей) умышленного преступления, относящегося к преступлениям против личности, а также признания ребенка оставшимся без попечения родителей в случае, если на момент смерти застрахованного лица ребенок являлся несовершеннолетним (свидетельство о рождении (усыновлении) указанных детей, справка органов опеки и попечительства об отсутствии сведений о лишении отца родительских прав (об отмене усыновления), признании ребенка оставшимся без попечения родителей, справка органов внутренних дел об отсутствии сведений о судимости за умышленное преступление против личности), - для </w:t>
      </w:r>
      <w:r>
        <w:t>отца (усыновителя) ребенка, в связи с рождением (усыновлением) которого у застрахованного лица возникло право на дополнительные меры государственной поддержки</w:t>
      </w:r>
      <w:r>
        <w:t>;</w:t>
      </w:r>
    </w:p>
    <w:p w14:paraId="13000000">
      <w:pPr>
        <w:pStyle w:val="Style_1"/>
      </w:pPr>
      <w:r>
        <w:t xml:space="preserve">к) документов, подтверждающих смерть отца (усыновителя), лишение его родительских прав (отмену усыновления) в отношении ребенка, в связи с рождением (усыновлением) которого у застрахованного лица возникло право на дополнительные меры государственной поддержки, совершение отцом (усыновителем) в отношении своего ребенка (детей) умышленного преступления, относящегося к преступлениям против личности, обучение ребенка (детей) по очной форме в организации, осуществляющей образовательную деятельность (за исключением организации дополнительного образования) (свидетельство о смерти отца (усыновителя), решение суда о лишении отца родительских прав (отмене усыновления), справка органов внутренних дел о судимости за умышленное преступление против личности, справка организации, осуществляющей образовательную деятельность, об обучении по очной форме), - </w:t>
      </w:r>
      <w:r>
        <w:t>для ребенка (детей), не достигшего совершеннолетия, и (или) совершеннолетнего ребенка (детей), обучающ</w:t>
      </w:r>
      <w:r>
        <w:t>его</w:t>
      </w:r>
      <w:r>
        <w:t>ся по очной форме в организации, осуществляющей образовательную деятельность (за исключением организации дополнительного образования), до окончания такого обучения, но не дольше чем до достижения им возраста 23 лет</w:t>
      </w:r>
      <w:r>
        <w:t>;</w:t>
      </w:r>
    </w:p>
    <w:p w14:paraId="14000000">
      <w:pPr>
        <w:pStyle w:val="Style_1"/>
      </w:pPr>
      <w:r>
        <w:t xml:space="preserve">л) справку о смерти гражданина по форме, утвержденной Постановлением Правительства Российской Федерации от 1 сентября 2023 г. </w:t>
      </w:r>
      <w:r>
        <w:t>№</w:t>
      </w:r>
      <w:r>
        <w:t xml:space="preserve"> 1421 в случае истечения срока, указанного в абзаце первом пункта 9 Правил</w:t>
      </w:r>
      <w:r>
        <w:t xml:space="preserve"> – для правопреемников умершего застрахованного лица-участника СВО, у которых нет возможности получения медицинского свидетельства о смерти умершего застрахованного лица;</w:t>
      </w:r>
    </w:p>
    <w:p w14:paraId="15000000">
      <w:pPr>
        <w:pStyle w:val="Style_1"/>
      </w:pPr>
      <w:r>
        <w:t>м) справку о подтверждении факта участия правопреемника умершего застрахованного лица в выполнении (обеспечении выполнения) задач в ходе  СВО по форме, утвержденной постановлением Правительства Российской Федерации от 28 октября 2025 г. N 1679 в случае истечения срока, указанного в абзаце первом пункта 9 Правил</w:t>
      </w:r>
      <w:r>
        <w:t>- для правопреемников, которые принимают (принимали) участие в СВО.</w:t>
      </w:r>
    </w:p>
    <w:p w14:paraId="16000000">
      <w:pPr>
        <w:pStyle w:val="Style_1"/>
      </w:pPr>
      <w:r>
        <w:t>н</w:t>
      </w:r>
      <w:r>
        <w:t xml:space="preserve">) </w:t>
      </w:r>
      <w:r>
        <w:t>банковские реквизиты с указанием лицевого счета правопреемника</w:t>
      </w:r>
      <w:r>
        <w:t xml:space="preserve">. </w:t>
      </w:r>
    </w:p>
    <w:p w14:paraId="17000000">
      <w:pPr>
        <w:pStyle w:val="Style_1"/>
        <w:widowControl w:val="0"/>
        <w:spacing w:after="0" w:before="0" w:line="240" w:lineRule="auto"/>
        <w:ind w:firstLine="0" w:left="720"/>
        <w:jc w:val="left"/>
      </w:pPr>
      <w:r>
        <w:rPr>
          <w:rFonts w:ascii="Arial" w:hAnsi="Arial"/>
        </w:rPr>
        <w:t xml:space="preserve"> </w:t>
      </w:r>
      <w:bookmarkStart w:id="1" w:name="_GoBack"/>
      <w:bookmarkEnd w:id="1"/>
    </w:p>
    <w:sectPr>
      <w:type w:val="nextPage"/>
      <w:pgSz w:h="16838" w:orient="portrait" w:w="11906"/>
      <w:pgMar w:bottom="1134" w:footer="0" w:gutter="0" w:header="0" w:left="1702" w:right="844" w:top="1180"/>
      <w:pgNumType w:fmt="decimal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1B000000">
      <w:pPr>
        <w:spacing w:after="0" w:line="240" w:lineRule="auto"/>
        <w:ind/>
      </w:pPr>
      <w:r>
        <w:separator/>
      </w:r>
    </w:p>
  </w:endnote>
  <w:endnote w:id="0" w:type="continuationSeparator">
    <w:p w14:paraId="1C000000">
      <w:pPr>
        <w:spacing w:after="0" w:line="240" w:lineRule="auto"/>
        <w:ind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18000000">
      <w:pPr>
        <w:spacing w:after="0" w:line="240" w:lineRule="auto"/>
        <w:ind/>
      </w:pPr>
      <w:r>
        <w:separator/>
      </w:r>
    </w:p>
  </w:footnote>
  <w:footnote w:id="0" w:type="continuationSeparator">
    <w:p w14:paraId="19000000">
      <w:pPr>
        <w:spacing w:after="0" w:line="240" w:lineRule="auto"/>
        <w:ind/>
      </w:pPr>
      <w:r>
        <w:continuationSeparator/>
      </w:r>
    </w:p>
  </w:footnote>
  <w:footnote w:id="1">
    <w:p w14:paraId="1A000000">
      <w:pPr>
        <w:pStyle w:val="Style_1"/>
      </w:pPr>
      <w:r>
        <w:rPr>
          <w:vertAlign w:val="superscript"/>
        </w:rPr>
        <w:footnoteRef/>
      </w:r>
      <w:r>
        <w:t xml:space="preserve"> </w:t>
      </w:r>
      <w:r>
        <w:t xml:space="preserve">в случае, когда в качестве законного представителя выступает организация </w:t>
      </w:r>
      <w:r>
        <w:t xml:space="preserve"> 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•"/>
      <w:lvlJc w:val="left"/>
      <w:pPr>
        <w:widowControl w:val="0"/>
        <w:tabs>
          <w:tab w:leader="none" w:pos="0" w:val="left"/>
        </w:tabs>
        <w:ind w:firstLine="0" w:left="926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firstLine="0" w:left="1646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  <w:lvl w:ilvl="2">
      <w:start w:val="1"/>
      <w:numFmt w:val="bullet"/>
      <w:lvlText w:val="▪"/>
      <w:lvlJc w:val="left"/>
      <w:pPr>
        <w:widowControl w:val="0"/>
        <w:tabs>
          <w:tab w:leader="none" w:pos="0" w:val="left"/>
        </w:tabs>
        <w:ind w:firstLine="0" w:left="2366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  <w:lvl w:ilvl="3">
      <w:start w:val="1"/>
      <w:numFmt w:val="bullet"/>
      <w:lvlText w:val="•"/>
      <w:lvlJc w:val="left"/>
      <w:pPr>
        <w:widowControl w:val="0"/>
        <w:tabs>
          <w:tab w:leader="none" w:pos="0" w:val="left"/>
        </w:tabs>
        <w:ind w:firstLine="0" w:left="3086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firstLine="0" w:left="3806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  <w:lvl w:ilvl="5">
      <w:start w:val="1"/>
      <w:numFmt w:val="bullet"/>
      <w:lvlText w:val="▪"/>
      <w:lvlJc w:val="left"/>
      <w:pPr>
        <w:widowControl w:val="0"/>
        <w:tabs>
          <w:tab w:leader="none" w:pos="0" w:val="left"/>
        </w:tabs>
        <w:ind w:firstLine="0" w:left="4526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  <w:lvl w:ilvl="6">
      <w:start w:val="1"/>
      <w:numFmt w:val="bullet"/>
      <w:lvlText w:val="•"/>
      <w:lvlJc w:val="left"/>
      <w:pPr>
        <w:widowControl w:val="0"/>
        <w:tabs>
          <w:tab w:leader="none" w:pos="0" w:val="left"/>
        </w:tabs>
        <w:ind w:firstLine="0" w:left="5246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firstLine="0" w:left="5966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  <w:lvl w:ilvl="8">
      <w:start w:val="1"/>
      <w:numFmt w:val="bullet"/>
      <w:lvlText w:val="▪"/>
      <w:lvlJc w:val="left"/>
      <w:pPr>
        <w:widowControl w:val="0"/>
        <w:tabs>
          <w:tab w:leader="none" w:pos="0" w:val="left"/>
        </w:tabs>
        <w:ind w:firstLine="0" w:left="6686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rackRevisions/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53" w:before="0" w:line="228" w:lineRule="auto"/>
      <w:ind w:firstLine="556" w:left="-15"/>
      <w:jc w:val="both"/>
    </w:pPr>
    <w:rPr>
      <w:rFonts w:ascii="Times New Roman" w:hAnsi="Times New Roman"/>
      <w:color w:val="00000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4"/>
    </w:rPr>
  </w:style>
  <w:style w:styleId="Style_2" w:type="paragraph">
    <w:name w:val="Footnote Reference"/>
    <w:link w:val="Style_2_ch"/>
    <w:rPr>
      <w:vertAlign w:val="superscript"/>
    </w:rPr>
  </w:style>
  <w:style w:styleId="Style_2_ch" w:type="character">
    <w:name w:val="Footnote Reference"/>
    <w:link w:val="Style_2"/>
    <w:rPr>
      <w:vertAlign w:val="superscript"/>
    </w:rPr>
  </w:style>
  <w:style w:styleId="Style_3" w:type="paragraph">
    <w:name w:val="toc 2"/>
    <w:next w:val="Style_1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1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Line Number"/>
    <w:link w:val="Style_8_ch"/>
  </w:style>
  <w:style w:styleId="Style_8_ch" w:type="character">
    <w:name w:val="Line Number"/>
    <w:link w:val="Style_8"/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Символ концевой сноски"/>
    <w:link w:val="Style_11_ch"/>
  </w:style>
  <w:style w:styleId="Style_11_ch" w:type="character">
    <w:name w:val="Символ концевой сноски"/>
    <w:link w:val="Style_11"/>
  </w:style>
  <w:style w:styleId="Style_12" w:type="paragraph">
    <w:name w:val="List"/>
    <w:basedOn w:val="Style_13"/>
    <w:link w:val="Style_12_ch"/>
    <w:rPr>
      <w:rFonts w:ascii="PT Astra Serif" w:hAnsi="PT Astra Serif"/>
    </w:rPr>
  </w:style>
  <w:style w:styleId="Style_12_ch" w:type="character">
    <w:name w:val="List"/>
    <w:basedOn w:val="Style_13_ch"/>
    <w:link w:val="Style_12"/>
    <w:rPr>
      <w:rFonts w:ascii="PT Astra Serif" w:hAnsi="PT Astra Serif"/>
    </w:rPr>
  </w:style>
  <w:style w:styleId="Style_14" w:type="paragraph">
    <w:name w:val="Заголовок"/>
    <w:basedOn w:val="Style_1"/>
    <w:next w:val="Style_13"/>
    <w:link w:val="Style_14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14_ch" w:type="character">
    <w:name w:val="Заголовок"/>
    <w:basedOn w:val="Style_1_ch"/>
    <w:link w:val="Style_14"/>
    <w:rPr>
      <w:rFonts w:ascii="PT Astra Serif" w:hAnsi="PT Astra Serif"/>
      <w:sz w:val="28"/>
    </w:rPr>
  </w:style>
  <w:style w:styleId="Style_15" w:type="paragraph">
    <w:name w:val="Endnote Reference"/>
    <w:link w:val="Style_15_ch"/>
    <w:rPr>
      <w:vertAlign w:val="superscript"/>
    </w:rPr>
  </w:style>
  <w:style w:styleId="Style_15_ch" w:type="character">
    <w:name w:val="Endnote Reference"/>
    <w:link w:val="Style_15"/>
    <w:rPr>
      <w:vertAlign w:val="superscript"/>
    </w:rPr>
  </w:style>
  <w:style w:styleId="Style_16" w:type="paragraph">
    <w:name w:val="toc 3"/>
    <w:next w:val="Style_1"/>
    <w:link w:val="Style_1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footnote mark"/>
    <w:link w:val="Style_17_ch"/>
    <w:rPr>
      <w:rFonts w:ascii="Arial" w:hAnsi="Arial"/>
      <w:color w:val="000000"/>
      <w:sz w:val="20"/>
      <w:vertAlign w:val="superscript"/>
    </w:rPr>
  </w:style>
  <w:style w:styleId="Style_17_ch" w:type="character">
    <w:name w:val="footnote mark"/>
    <w:link w:val="Style_17"/>
    <w:rPr>
      <w:rFonts w:ascii="Arial" w:hAnsi="Arial"/>
      <w:color w:val="000000"/>
      <w:sz w:val="20"/>
      <w:vertAlign w:val="superscript"/>
    </w:rPr>
  </w:style>
  <w:style w:styleId="Style_18" w:type="paragraph">
    <w:name w:val="heading 5"/>
    <w:next w:val="Style_1"/>
    <w:link w:val="Style_18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Символ сноски"/>
    <w:link w:val="Style_19_ch"/>
    <w:rPr>
      <w:vertAlign w:val="superscript"/>
    </w:rPr>
  </w:style>
  <w:style w:styleId="Style_19_ch" w:type="character">
    <w:name w:val="Символ сноски"/>
    <w:link w:val="Style_19"/>
    <w:rPr>
      <w:vertAlign w:val="superscript"/>
    </w:rPr>
  </w:style>
  <w:style w:styleId="Style_20" w:type="paragraph">
    <w:name w:val="heading 1"/>
    <w:next w:val="Style_1"/>
    <w:link w:val="Style_2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basedOn w:val="Style_1"/>
    <w:link w:val="Style_22_ch"/>
    <w:pPr>
      <w:widowControl w:val="0"/>
      <w:spacing w:after="0" w:before="0" w:line="240" w:lineRule="auto"/>
      <w:ind/>
    </w:pPr>
    <w:rPr>
      <w:sz w:val="20"/>
    </w:rPr>
  </w:style>
  <w:style w:styleId="Style_22_ch" w:type="character">
    <w:name w:val="Footnote"/>
    <w:basedOn w:val="Style_1_ch"/>
    <w:link w:val="Style_22"/>
    <w:rPr>
      <w:sz w:val="20"/>
    </w:rPr>
  </w:style>
  <w:style w:styleId="Style_23" w:type="paragraph">
    <w:name w:val="toc 1"/>
    <w:next w:val="Style_1"/>
    <w:link w:val="Style_2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13" w:type="paragraph">
    <w:name w:val="Body Text"/>
    <w:basedOn w:val="Style_1"/>
    <w:link w:val="Style_13_ch"/>
    <w:pPr>
      <w:widowControl w:val="0"/>
      <w:spacing w:after="140" w:before="0" w:line="276" w:lineRule="auto"/>
      <w:ind/>
    </w:pPr>
  </w:style>
  <w:style w:styleId="Style_13_ch" w:type="character">
    <w:name w:val="Body Text"/>
    <w:basedOn w:val="Style_1_ch"/>
    <w:link w:val="Style_13"/>
  </w:style>
  <w:style w:styleId="Style_25" w:type="paragraph">
    <w:name w:val="toc 9"/>
    <w:next w:val="Style_1"/>
    <w:link w:val="Style_2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Caption"/>
    <w:basedOn w:val="Style_1"/>
    <w:link w:val="Style_26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26_ch" w:type="character">
    <w:name w:val="Caption"/>
    <w:basedOn w:val="Style_1_ch"/>
    <w:link w:val="Style_26"/>
    <w:rPr>
      <w:rFonts w:ascii="PT Astra Serif" w:hAnsi="PT Astra Serif"/>
      <w:i w:val="1"/>
      <w:sz w:val="24"/>
    </w:rPr>
  </w:style>
  <w:style w:styleId="Style_27" w:type="paragraph">
    <w:name w:val="footnote description"/>
    <w:next w:val="Style_1"/>
    <w:link w:val="Style_27_ch"/>
    <w:pPr>
      <w:widowControl w:val="1"/>
      <w:spacing w:after="0" w:before="0" w:line="240" w:lineRule="auto"/>
      <w:ind/>
      <w:jc w:val="left"/>
    </w:pPr>
    <w:rPr>
      <w:rFonts w:ascii="Arial" w:hAnsi="Arial"/>
      <w:color w:val="000000"/>
      <w:sz w:val="20"/>
    </w:rPr>
  </w:style>
  <w:style w:styleId="Style_27_ch" w:type="character">
    <w:name w:val="footnote description"/>
    <w:link w:val="Style_27"/>
    <w:rPr>
      <w:rFonts w:ascii="Arial" w:hAnsi="Arial"/>
      <w:color w:val="000000"/>
      <w:sz w:val="20"/>
    </w:rPr>
  </w:style>
  <w:style w:styleId="Style_28" w:type="paragraph">
    <w:name w:val="toc 8"/>
    <w:next w:val="Style_1"/>
    <w:link w:val="Style_2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Указатель"/>
    <w:basedOn w:val="Style_1"/>
    <w:link w:val="Style_29_ch"/>
    <w:rPr>
      <w:rFonts w:ascii="PT Astra Serif" w:hAnsi="PT Astra Serif"/>
    </w:rPr>
  </w:style>
  <w:style w:styleId="Style_29_ch" w:type="character">
    <w:name w:val="Указатель"/>
    <w:basedOn w:val="Style_1_ch"/>
    <w:link w:val="Style_29"/>
    <w:rPr>
      <w:rFonts w:ascii="PT Astra Serif" w:hAnsi="PT Astra Serif"/>
    </w:rPr>
  </w:style>
  <w:style w:styleId="Style_30" w:type="paragraph">
    <w:name w:val="Balloon Text"/>
    <w:basedOn w:val="Style_1"/>
    <w:link w:val="Style_30_ch"/>
    <w:pPr>
      <w:widowControl w:val="0"/>
      <w:spacing w:after="0" w:before="0" w:line="240" w:lineRule="auto"/>
      <w:ind/>
    </w:pPr>
    <w:rPr>
      <w:rFonts w:ascii="Segoe UI" w:hAnsi="Segoe UI"/>
      <w:sz w:val="18"/>
    </w:rPr>
  </w:style>
  <w:style w:styleId="Style_30_ch" w:type="character">
    <w:name w:val="Balloon Text"/>
    <w:basedOn w:val="Style_1_ch"/>
    <w:link w:val="Style_30"/>
    <w:rPr>
      <w:rFonts w:ascii="Segoe UI" w:hAnsi="Segoe UI"/>
      <w:sz w:val="18"/>
    </w:rPr>
  </w:style>
  <w:style w:styleId="Style_31" w:type="paragraph">
    <w:name w:val="toc 5"/>
    <w:next w:val="Style_1"/>
    <w:link w:val="Style_3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Текст сноски Знак"/>
    <w:basedOn w:val="Style_5"/>
    <w:link w:val="Style_32_ch"/>
    <w:rPr>
      <w:rFonts w:ascii="Times New Roman" w:hAnsi="Times New Roman"/>
      <w:color w:val="000000"/>
      <w:sz w:val="20"/>
    </w:rPr>
  </w:style>
  <w:style w:styleId="Style_32_ch" w:type="character">
    <w:name w:val="Текст сноски Знак"/>
    <w:basedOn w:val="Style_5_ch"/>
    <w:link w:val="Style_32"/>
    <w:rPr>
      <w:rFonts w:ascii="Times New Roman" w:hAnsi="Times New Roman"/>
      <w:color w:val="000000"/>
      <w:sz w:val="20"/>
    </w:rPr>
  </w:style>
  <w:style w:styleId="Style_33" w:type="paragraph">
    <w:name w:val="Subtitle"/>
    <w:next w:val="Style_1"/>
    <w:link w:val="Style_3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1"/>
    <w:link w:val="Style_3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1"/>
    <w:link w:val="Style_3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1"/>
    <w:link w:val="Style_3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3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9" Target="numbering.xml" Type="http://schemas.openxmlformats.org/officeDocument/2006/relationships/numbering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2026-01-16T15:17:27Z</dcterms:created>
  <dcterms:modified xsi:type="dcterms:W3CDTF">2026-01-16T15:17:27Z</dcterms:modified>
</cp:coreProperties>
</file>